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7.png" ContentType="image/png"/>
  <Override PartName="/word/media/rId136.png" ContentType="image/png"/>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Override PartName="/word/media/rId87.png" ContentType="image/png"/>
  <Override PartName="/word/media/rId88.png" ContentType="image/png"/>
  <Override PartName="/word/media/rId99.png" ContentType="image/png"/>
  <Override PartName="/word/media/rId98.png" ContentType="image/png"/>
  <Override PartName="/word/media/rId100.png" ContentType="image/png"/>
  <Override PartName="/word/media/rId101.png" ContentType="image/png"/>
  <Override PartName="/word/media/rId80.png" ContentType="image/png"/>
  <Override PartName="/word/media/rId77.png" ContentType="image/png"/>
  <Override PartName="/word/media/rId76.png" ContentType="image/png"/>
  <Override PartName="/word/media/rId73.png" ContentType="image/png"/>
  <Override PartName="/word/media/rId94.png" ContentType="image/png"/>
  <Override PartName="/word/media/rId84.png" ContentType="image/png"/>
  <Override PartName="/word/media/rId105.png" ContentType="image/png"/>
  <Override PartName="/word/media/rId107.png" ContentType="image/png"/>
  <Override PartName="/word/media/rId108.png" ContentType="image/png"/>
  <Override PartName="/word/media/rId109.png" ContentType="image/png"/>
  <Override PartName="/word/media/rId85.png" ContentType="image/png"/>
  <Override PartName="/word/media/rId69.png" ContentType="image/png"/>
  <Override PartName="/word/media/rId82.png" ContentType="image/png"/>
  <Override PartName="/word/media/rId104.png" ContentType="image/png"/>
  <Override PartName="/word/media/rId96.png" ContentType="image/png"/>
  <Override PartName="/word/media/rId123.png" ContentType="image/png"/>
  <Override PartName="/word/media/rId113.png" ContentType="image/png"/>
  <Override PartName="/word/media/rId122.png" ContentType="image/png"/>
  <Override PartName="/word/media/rId124.png" ContentType="image/png"/>
  <Override PartName="/word/media/rId115.png" ContentType="image/png"/>
  <Override PartName="/word/media/rId120.png" ContentType="image/png"/>
  <Override PartName="/word/media/rId117.png" ContentType="image/png"/>
  <Override PartName="/word/media/rId127.png" ContentType="image/png"/>
  <Override PartName="/word/media/rId118.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31A).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31B).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Compact"/>
        <w:numPr>
          <w:numId w:val="1010"/>
          <w:ilvl w:val="0"/>
        </w:numPr>
      </w:pPr>
      <w:r>
        <w:t xml:space="preserve">le mvt est du à deux choses</w:t>
      </w:r>
    </w:p>
    <w:p>
      <w:pPr>
        <w:pStyle w:val="Compact"/>
        <w:numPr>
          <w:numId w:val="1011"/>
          <w:ilvl w:val="1"/>
        </w:numPr>
      </w:pPr>
      <w:r>
        <w:t xml:space="preserve">un attachement qui produit de la force (NDC80 qui track le MT depoly) comme proposé in vitro par</w:t>
      </w:r>
      <w:r>
        <w:t xml:space="preserve"> </w:t>
      </w:r>
      <w:r>
        <w:t xml:space="preserve">(Joglekar and DeLuca,</w:t>
      </w:r>
      <w:r>
        <w:t xml:space="preserve"> </w:t>
      </w:r>
      <w:hyperlink w:anchor="ref-Joglekar2009">
        <w:r>
          <w:rPr>
            <w:rStyle w:val="Hyperlink"/>
          </w:rPr>
          <w:t xml:space="preserve">2009</w:t>
        </w:r>
      </w:hyperlink>
      <w:r>
        <w:t xml:space="preserve">; Powers et al.,</w:t>
      </w:r>
      <w:r>
        <w:t xml:space="preserve"> </w:t>
      </w:r>
      <w:hyperlink w:anchor="ref-Powers2009a">
        <w:r>
          <w:rPr>
            <w:rStyle w:val="Hyperlink"/>
          </w:rPr>
          <w:t xml:space="preserve">2009</w:t>
        </w:r>
      </w:hyperlink>
      <w:r>
        <w:t xml:space="preserve">)</w:t>
      </w:r>
      <w:r>
        <w:t xml:space="preserve"> </w:t>
      </w:r>
      <w:r>
        <w:t xml:space="preserve">: continuité du modele de Hill</w:t>
      </w:r>
      <w:r>
        <w:t xml:space="preserve"> </w:t>
      </w:r>
      <w:r>
        <w:t xml:space="preserve">(Hill,</w:t>
      </w:r>
      <w:r>
        <w:t xml:space="preserve"> </w:t>
      </w:r>
      <w:hyperlink w:anchor="ref-Hill1985">
        <w:r>
          <w:rPr>
            <w:rStyle w:val="Hyperlink"/>
          </w:rPr>
          <w:t xml:space="preserve">1985</w:t>
        </w:r>
      </w:hyperlink>
      <w:r>
        <w:t xml:space="preserve">)</w:t>
      </w:r>
    </w:p>
    <w:p>
      <w:pPr>
        <w:pStyle w:val="Compact"/>
        <w:numPr>
          <w:numId w:val="1011"/>
          <w:ilvl w:val="1"/>
        </w:numPr>
      </w:pPr>
      <w:r>
        <w:t xml:space="preserve">une regulation au niveau des deux kinétochores freres pr savoir qui tire ou pas (these de harry)</w:t>
      </w:r>
    </w:p>
    <w:p>
      <w:pPr>
        <w:pStyle w:val="Compact"/>
        <w:numPr>
          <w:numId w:val="1010"/>
          <w:ilvl w:val="0"/>
        </w:numPr>
      </w:pPr>
      <w:r>
        <w:t xml:space="preserve">(Wan et al.,</w:t>
      </w:r>
      <w:r>
        <w:t xml:space="preserve"> </w:t>
      </w:r>
      <w:hyperlink w:anchor="ref-Wan2012">
        <w:r>
          <w:rPr>
            <w:rStyle w:val="Hyperlink"/>
          </w:rPr>
          <w:t xml:space="preserve">2012</w:t>
        </w:r>
      </w:hyperlink>
      <w:r>
        <w:t xml:space="preserve">)</w:t>
      </w:r>
      <w:r>
        <w:t xml:space="preserve"> </w:t>
      </w:r>
      <w:r>
        <w:t xml:space="preserve">pour l'intro avec skibbens</w:t>
      </w:r>
    </w:p>
    <w:p>
      <w:pPr>
        <w:pStyle w:val="Compact"/>
        <w:numPr>
          <w:numId w:val="1010"/>
          <w:ilvl w:val="0"/>
        </w:numPr>
      </w:pPr>
      <w:r>
        <w:t xml:space="preserve">switch entre irregular movement et oscillations</w:t>
      </w:r>
      <w:r>
        <w:t xml:space="preserve"> </w:t>
      </w:r>
      <w:r>
        <w:t xml:space="preserve">(Magidson et al.,</w:t>
      </w:r>
      <w:r>
        <w:t xml:space="preserve"> </w:t>
      </w:r>
      <w:hyperlink w:anchor="ref-Magidson2011">
        <w:r>
          <w:rPr>
            <w:rStyle w:val="Hyperlink"/>
          </w:rPr>
          <w:t xml:space="preserve">2011</w:t>
        </w:r>
      </w:hyperlink>
      <w:r>
        <w:t xml:space="preserve">)</w:t>
      </w:r>
    </w:p>
    <w:p>
      <w:pPr>
        <w:pStyle w:val="Compact"/>
        <w:numPr>
          <w:numId w:val="1010"/>
          <w:ilvl w:val="0"/>
        </w:numPr>
      </w:pPr>
      <w:r>
        <w:t xml:space="preserve">mouvement AP et P</w:t>
      </w:r>
    </w:p>
    <w:p>
      <w:pPr>
        <w:numPr>
          <w:numId w:val="1010"/>
          <w:ilvl w:val="0"/>
        </w:numPr>
      </w:pPr>
      <w:r>
        <w:t xml:space="preserve">these de harry qui prend pas en compte les mvt irreguliers</w:t>
      </w:r>
      <w:r>
        <w:t xml:space="preserve"> </w:t>
      </w:r>
      <w:r>
        <w:t xml:space="preserve">(Harry,</w:t>
      </w:r>
      <w:r>
        <w:t xml:space="preserve"> </w:t>
      </w:r>
      <w:hyperlink w:anchor="ref-Harry2014">
        <w:r>
          <w:rPr>
            <w:rStyle w:val="Hyperlink"/>
          </w:rPr>
          <w:t xml:space="preserve">2014</w:t>
        </w:r>
      </w:hyperlink>
      <w:r>
        <w:t xml:space="preserve">)</w:t>
      </w:r>
    </w:p>
    <w:p>
      <w:pPr>
        <w:pStyle w:val="Compact"/>
        <w:numPr>
          <w:numId w:val="1010"/>
          <w:ilvl w:val="0"/>
        </w:numPr>
      </w:pPr>
      <w:r>
        <w:t xml:space="preserve">donc mvt depend de la dynamique des MT</w:t>
      </w:r>
    </w:p>
    <w:p>
      <w:pPr>
        <w:numPr>
          <w:numId w:val="1010"/>
          <w:ilvl w:val="0"/>
        </w:numPr>
      </w:pPr>
      <w:r>
        <w:t xml:space="preserve">dynamique des MT peut etre influencé par bcp bcp de MAPs</w:t>
      </w:r>
    </w:p>
    <w:p>
      <w:pPr>
        <w:numPr>
          <w:numId w:val="1010"/>
          <w:ilvl w:val="0"/>
        </w:numPr>
      </w:pPr>
      <w:r>
        <w:t xml:space="preserve">comment fonctionne la régulation/synchronisation ?</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 Les flèches correspondent aux forces appliquées sur les différents éléments du fuseau mitotique.</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Schéma du cycle cellulaire de _S. pombe_"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sec:article"/>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24A).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24B).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6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24: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0" w:name="détection-par-fit-gaussien"/>
      <w:bookmarkEnd w:id="7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24B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1"/>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25).</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25B) possède souvent une gaussienne moins bien défini que la sonde Cdc11-GFP (Figure 25C)).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3"/>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25: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4"/>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26A). La distance entre la position réelle</w:t>
      </w:r>
      <w:r>
        <w:t xml:space="preserve"> </w:t>
      </w:r>
      <w:r>
        <w:rPr>
          <w:i/>
        </w:rPr>
        <w:t xml:space="preserve">in silico</w:t>
      </w:r>
      <w:r>
        <w:t xml:space="preserve"> </w:t>
      </w:r>
      <w:r>
        <w:t xml:space="preserve">puis la position détectée a ensuite été comparé (Figure 26B).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6"/>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26: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24A).</w:t>
      </w:r>
    </w:p>
    <w:p>
      <w:pPr>
        <w:pStyle w:val="BodyText"/>
      </w:pPr>
      <w:r>
        <w:t xml:space="preserve">L'idée principale est d'appliquer un algorithme de détection de blob plusieurs fois. Entre chaque tour de détection, on soustrait les blobs détectés à l'image source et on re-détecte les blobs restant (Figure 27).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7"/>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27: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78"/>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24A) fonctionnait bien. Or l'algorithme de déflation ne donne pas de résultat convaincant comparé à celui proposé par TrackMate (Figure 28).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0"/>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28: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1" w:name="reconstruction-des-trajectoires"/>
      <w:bookmarkEnd w:id="81"/>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29).</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2"/>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29: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3" w:name="trois-chromosomes"/>
      <w:bookmarkEnd w:id="83"/>
      <w:r>
        <w:t xml:space="preserve">Trois chromosomes</w:t>
      </w:r>
    </w:p>
    <w:p>
      <w:pPr>
        <w:pStyle w:val="FirstParagraph"/>
      </w:pPr>
      <w:r>
        <w:t xml:space="preserve">Le tracking des six kinétochores est un challenge. En effet comme déjà vu en Figure 24A,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30).</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4"/>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30: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30A),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30B)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31). La première provenant d'un module Python crée pour l'occasion, appelé</w:t>
      </w:r>
      <w:r>
        <w:t xml:space="preserve"> </w:t>
      </w:r>
      <w:r>
        <w:rPr>
          <w:rStyle w:val="VerbatimChar"/>
        </w:rPr>
        <w:t xml:space="preserve">scikit-tracker</w:t>
      </w:r>
      <w:r>
        <w:t xml:space="preserve">, possédant une fonction de score supposant un mouvement brownien (Figure 31A). La seconde est celle disponible dans TrackMate et contient une fonction de score qui suppose un mouvement dirigé basé sur un filtre de Kalman pour prédire les trajectoires (Figure 31B).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5"/>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31: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6" w:name="un-chromosome"/>
      <w:bookmarkEnd w:id="86"/>
      <w:r>
        <w:t xml:space="preserve">Un chromosome</w:t>
      </w:r>
    </w:p>
    <w:p>
      <w:pPr>
        <w:pStyle w:val="FirstParagraph"/>
      </w:pPr>
      <w:r>
        <w:t xml:space="preserve">En observant seulement un seul chromosome (Figure 24B),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31)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7"/>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31: Algorithme de tracking pour un chromosome.</w:t>
      </w:r>
    </w:p>
    <w:p>
      <w:pPr>
        <w:pStyle w:val="BodyText"/>
      </w:pPr>
      <w:r>
        <w:t xml:space="preserve">Cette technique est très robuste (Figure 32).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88"/>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32: Reconstruction de la trajectoire du chromosome II et de ces deux pôles.</w:t>
      </w:r>
    </w:p>
    <w:p>
      <w:pPr>
        <w:pStyle w:val="Heading5"/>
      </w:pPr>
      <w:bookmarkStart w:id="89" w:name="interface-de-correction-manuelle-des-trajectoires"/>
      <w:bookmarkEnd w:id="89"/>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0"/>
      </w:r>
      <w:r>
        <w:t xml:space="preserve"> Son code est librement disponible.</w:t>
      </w:r>
      <w:r>
        <w:rPr>
          <w:rStyle w:val="FootnoteReference"/>
        </w:rPr>
        <w:footnoteReference w:id="92"/>
      </w:r>
      <w:r>
        <w:t xml:space="preserve"/>
      </w:r>
    </w:p>
    <w:p>
      <w:pPr>
        <w:pStyle w:val="BodyText"/>
      </w:pPr>
      <w:r>
        <w:t xml:space="preserve">L'interface permet de naviguer de manière intuitive dans la trajectoire à l'aide d'un système de zoom dynamique (Figure 33).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33A) afin de pouvoir faciliter l'analyse automatique des différentes phases de la mitose ultérieurement.</w:t>
      </w:r>
    </w:p>
    <w:p>
      <w:pPr>
        <w:pStyle w:val="BodyText"/>
      </w:pPr>
      <w:r>
        <w:t xml:space="preserve">Cependant l'utilité majeure de l'interface graphique est de pouvoir modifier les erreurs de tracking (Figure 33B).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4"/>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33: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5" w:name="résumé-du-workflow-de-reconstruction-des-trajectoires"/>
      <w:bookmarkEnd w:id="95"/>
      <w:r>
        <w:t xml:space="preserve">Résumé du workflow de reconstruction des trajectoires</w:t>
      </w:r>
    </w:p>
    <w:p>
      <w:pPr>
        <w:pStyle w:val="FirstParagraph"/>
      </w:pPr>
      <w:r>
        <w:t xml:space="preserve">Voici un résumé de l'ensemble des étapes menant à la reconstruction de la trajectoire des chromosomes (Figure 34).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6"/>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34: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7" w:name="létat-de-cohérence-du-mouvement-des-kinétochores-frères"/>
      <w:bookmarkEnd w:id="97"/>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35).</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98"/>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35: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35).</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36,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99"/>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36: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37)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0"/>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37: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1"/>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38: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2" w:name="analyse-du-mouvement-par-mean-square-displacement"/>
      <w:bookmarkEnd w:id="102"/>
      <w:r>
        <w:t xml:space="preserve">Analyse du mouvement par « Mean Square Displacement »</w:t>
      </w:r>
    </w:p>
    <w:p>
      <w:pPr>
        <w:pStyle w:val="Heading4"/>
      </w:pPr>
      <w:bookmarkStart w:id="103" w:name="la-msd-un-outil-pour-accéder-aux-différents-phénomènes-gouvernant-un-mouvement"/>
      <w:bookmarkEnd w:id="103"/>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4"/>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39: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40A,B).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5"/>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40: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6" w:name="mesure-de-la-msd-appliquée-au-mouvement-de-cen2-gfp"/>
      <w:bookmarkEnd w:id="106"/>
      <w:r>
        <w:t xml:space="preserve">Mesure de la MSD appliquée au mouvement de Cen2-GFP</w:t>
      </w:r>
    </w:p>
    <w:p>
      <w:pPr>
        <w:pStyle w:val="FirstParagraph"/>
      </w:pPr>
      <w:r>
        <w:t xml:space="preserve">L'observation des MSD de différentes trajectoires de Cen2-GFP sous différentes conditions (Figure 41 et Figure 42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41: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42) permet de voir de manière plus précise ce qui se passe aux temps courts. Il est ainsi possible d'observer que toutes les MSD pourraient posséder trois temps caractéristiques (Figure 43) :</w:t>
      </w:r>
    </w:p>
    <w:p>
      <w:pPr>
        <w:numPr>
          <w:numId w:val="1018"/>
          <w:ilvl w:val="0"/>
        </w:numPr>
      </w:pPr>
      <w:r>
        <w:t xml:space="preserve">Un premier temps allant juqu'à 0.3s (en orange) pourrait traduire l'effet des différents processus aléatoires sur le mouvement (mouvement brownien, bruit blanc de la mesure, etc).</w:t>
      </w:r>
    </w:p>
    <w:p>
      <w:pPr>
        <w:numPr>
          <w:numId w:val="1018"/>
          <w:ilvl w:val="0"/>
        </w:numPr>
      </w:pPr>
      <w:r>
        <w:t xml:space="preserve">De 0.3s à 2s (en vert), la pente chute brusquement (Figure 43),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40s (en bleu), la pente augmente (Figure 43)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0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très intéressant de remarquer que dans les MSD avec TBZ, la troisième pente (de 2s à 40s) est quasiment égale à la seconde pente (de 0.3s à 2s). Cela pourrait signifier que les kinétochores en présence de TBZ sont peu soumis à une force possiblement dirigée par un processus de mouvement dirigé comme le confirme l'analyse des oscillations en Section 3.1.</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09"/>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43: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0" w:name="modélisation-bio-mécanique-de-la-ségrégation-des-chromosomes"/>
      <w:bookmarkEnd w:id="110"/>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1" w:name="modéliser-la-dynamique-des-chromosomes-par-une-approche-force-balance"/>
      <w:bookmarkEnd w:id="111"/>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2" w:name="types-de-forces-en-jeux"/>
      <w:bookmarkEnd w:id="112"/>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9"/>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44).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44).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44).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3"/>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44: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4" w:name="léquation-du-mouvement"/>
      <w:bookmarkEnd w:id="114"/>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45).</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5"/>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45: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45).</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6" w:name="application-au-fuseau-mitotique"/>
      <w:bookmarkEnd w:id="116"/>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46).</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7"/>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46: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47).</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18"/>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47: Une simulation numérique permet de résoudre l'équation du mouvement et ensuite accéder à l'évolution des positions de chaque objets au cours du temps.</w:t>
      </w:r>
    </w:p>
    <w:p>
      <w:pPr>
        <w:pStyle w:val="Heading4"/>
      </w:pPr>
      <w:bookmarkStart w:id="119" w:name="implémentation-numérique"/>
      <w:bookmarkEnd w:id="119"/>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48: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49 et Figure 50)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49: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50: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50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51).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51) permet d'observer que cette hypothèse est aussi capable de reproduire l'alignement des chromosomes en mitose (Figure 50).</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51: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52).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52: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53) :</w:t>
      </w:r>
    </w:p>
    <w:p>
      <w:pPr>
        <w:numPr>
          <w:numId w:val="1020"/>
          <w:ilvl w:val="0"/>
        </w:numPr>
      </w:pPr>
      <w:r>
        <w:t xml:space="preserve">L'état « détaché » (D) correspond à site d'attachement sans microtubule et donc sans génération de force car elle est supposé provenir du microtubules.</w:t>
      </w:r>
    </w:p>
    <w:p>
      <w:pPr>
        <w:numPr>
          <w:numId w:val="1020"/>
          <w:ilvl w:val="0"/>
        </w:numPr>
      </w:pPr>
      <w:r>
        <w:t xml:space="preserve">L'état « attaché &amp; dépolymérisant » (SA) correspond à un attachement par un microtubule qui génère une force notamment du fait de la dépolymérisation du microtubule.</w:t>
      </w:r>
    </w:p>
    <w:p>
      <w:pPr>
        <w:numPr>
          <w:numId w:val="1020"/>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53: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53).</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28" w:name="discussion"/>
      <w:bookmarkEnd w:id="128"/>
      <w:r>
        <w:t xml:space="preserve">Discussion</w:t>
      </w:r>
    </w:p>
    <w:p>
      <w:pPr>
        <w:pStyle w:val="Heading2"/>
      </w:pPr>
      <w:bookmarkStart w:id="129" w:name="le-mouvement-des-chromosomes-durant-la-mitose"/>
      <w:bookmarkEnd w:id="129"/>
      <w:r>
        <w:t xml:space="preserve">Le mouvement des chromosomes durant la mitose</w:t>
      </w:r>
    </w:p>
    <w:p>
      <w:pPr>
        <w:pStyle w:val="Heading2"/>
      </w:pPr>
      <w:bookmarkStart w:id="130" w:name="le-mécanisme-dalignement-des-chromosomes-de-lin-silico-à-lin-vivo"/>
      <w:bookmarkEnd w:id="130"/>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131" w:name="modéliser-la-mitose-jusquà-quelle-précision"/>
      <w:bookmarkEnd w:id="131"/>
      <w:r>
        <w:t xml:space="preserve">Modéliser la mitose : jusqu'à quelle précision ?</w:t>
      </w:r>
    </w:p>
    <w:p>
      <w:pPr>
        <w:pStyle w:val="Heading2"/>
      </w:pPr>
      <w:bookmarkStart w:id="132" w:name="démarche-méthode-scientifique-bio-quantitative-et-computationnelle"/>
      <w:bookmarkEnd w:id="132"/>
      <w:r>
        <w:t xml:space="preserve">démarche méthode scientifique / bio quantitative et computationnelle</w:t>
      </w:r>
    </w:p>
    <w:p>
      <w:pPr>
        <w:pStyle w:val="Heading2"/>
      </w:pPr>
      <w:bookmarkStart w:id="133" w:name="dynamique-des-chromosomes"/>
      <w:bookmarkEnd w:id="133"/>
      <w:r>
        <w:t xml:space="preserve">dynamique des chromosomes</w:t>
      </w:r>
    </w:p>
    <w:p>
      <w:pPr>
        <w:pStyle w:val="Compact"/>
        <w:numPr>
          <w:numId w:val="1021"/>
          <w:ilvl w:val="0"/>
        </w:numPr>
      </w:pPr>
      <w:r>
        <w:t xml:space="preserve">analyse stat bayesienne</w:t>
      </w:r>
    </w:p>
    <w:p>
      <w:pPr>
        <w:pStyle w:val="Compact"/>
        <w:numPr>
          <w:numId w:val="1021"/>
          <w:ilvl w:val="0"/>
        </w:numPr>
      </w:pPr>
      <w:r>
        <w:t xml:space="preserve">regulation mvt oscillation</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54).</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54: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55)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55: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8" w:name="bibliographie"/>
      <w:bookmarkEnd w:id="138"/>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Harry, E. (2014). Metaphase chromosome dynamics investigated by high resolution tracking and data-driven modelling.</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Magidson, V., O’Connell, C.B., Lončarek, J., Paul, R., Mogilner, A., and Khodjakov, A. (2011). The spatial arrangement of chromosomes during prometaphase facilitates spindle assembly. Cell</w:t>
      </w:r>
      <w:r>
        <w:t xml:space="preserve"> </w:t>
      </w:r>
      <w:r>
        <w:rPr>
          <w:i/>
        </w:rPr>
        <w:t xml:space="preserve">146</w:t>
      </w:r>
      <w:r>
        <w:t xml:space="preserve">, 555–567.</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1">
    <w:p>
      <w:pPr>
        <w:pStyle w:val="FootnoteText"/>
      </w:pPr>
      <w:r>
        <w:rPr>
          <w:rStyle w:val="FootnoteReference"/>
        </w:rPr>
        <w:footnoteRef/>
      </w:r>
      <w:hyperlink r:id="rId72">
        <w:r>
          <w:rPr>
            <w:rStyle w:val="Hyperlink"/>
          </w:rPr>
          <w:t xml:space="preserve">https://en.wikipedia.org/wiki/Blob_detection#The_Laplacian_of_Gaussian</w:t>
        </w:r>
      </w:hyperlink>
    </w:p>
  </w:footnote>
  <w:footnote w:id="74">
    <w:p>
      <w:pPr>
        <w:pStyle w:val="FootnoteText"/>
      </w:pPr>
      <w:r>
        <w:rPr>
          <w:rStyle w:val="FootnoteReference"/>
        </w:rPr>
        <w:footnoteRef/>
      </w:r>
      <w:hyperlink r:id="rId75">
        <w:r>
          <w:rPr>
            <w:rStyle w:val="Hyperlink"/>
          </w:rPr>
          <w:t xml:space="preserve">http://git.io/vC9zf</w:t>
        </w:r>
      </w:hyperlink>
    </w:p>
  </w:footnote>
  <w:footnote w:id="78">
    <w:p>
      <w:pPr>
        <w:pStyle w:val="FootnoteText"/>
      </w:pPr>
      <w:r>
        <w:rPr>
          <w:rStyle w:val="FootnoteReference"/>
        </w:rPr>
        <w:footnoteRef/>
      </w:r>
      <w:hyperlink r:id="rId79">
        <w:r>
          <w:rPr>
            <w:rStyle w:val="Hyperlink"/>
          </w:rPr>
          <w:t xml:space="preserve">http://git.io/vCHGs</w:t>
        </w:r>
      </w:hyperlink>
    </w:p>
  </w:footnote>
  <w:footnote w:id="90">
    <w:p>
      <w:pPr>
        <w:pStyle w:val="FootnoteText"/>
      </w:pPr>
      <w:r>
        <w:rPr>
          <w:rStyle w:val="FootnoteReference"/>
        </w:rPr>
        <w:footnoteRef/>
      </w:r>
      <w:hyperlink r:id="rId91">
        <w:r>
          <w:rPr>
            <w:rStyle w:val="Hyperlink"/>
          </w:rPr>
          <w:t xml:space="preserve">www.pyqtgraph.org</w:t>
        </w:r>
      </w:hyperlink>
    </w:p>
  </w:footnote>
  <w:footnote w:id="92">
    <w:p>
      <w:pPr>
        <w:pStyle w:val="FootnoteText"/>
      </w:pPr>
      <w:r>
        <w:rPr>
          <w:rStyle w:val="FootnoteReference"/>
        </w:rPr>
        <w:footnoteRef/>
      </w:r>
      <w:hyperlink r:id="rId93">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7f2cdc5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df6c42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94" Target="media/rId94.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5" Target="media/rId85.png" /><Relationship Type="http://schemas.openxmlformats.org/officeDocument/2006/relationships/image" Id="rId69" Target="media/rId69.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27" Target="media/rId127.png" /><Relationship Type="http://schemas.openxmlformats.org/officeDocument/2006/relationships/image" Id="rId118" Target="media/rId118.png" /><Relationship Type="http://schemas.openxmlformats.org/officeDocument/2006/relationships/image" Id="rId126" Target="media/rId126.png" /><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